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2392"/>
        <w:gridCol w:w="6634"/>
      </w:tblGrid>
      <w:tr w:rsidR="5D6F99C4" w:rsidTr="699D29EF" w14:paraId="77390B9F" w14:textId="77777777">
        <w:tc>
          <w:tcPr>
            <w:tcW w:w="2392" w:type="dxa"/>
            <w:shd w:val="clear" w:color="auto" w:fill="FFFF00"/>
            <w:tcMar/>
          </w:tcPr>
          <w:p w:rsidR="5D6F99C4" w:rsidP="5D6F99C4" w:rsidRDefault="5D6F99C4" w14:paraId="7E3B4ADE" w14:textId="6EE9797B">
            <w:pPr>
              <w:spacing w:line="259" w:lineRule="auto"/>
            </w:pPr>
            <w:r w:rsidRPr="5D6F99C4">
              <w:rPr>
                <w:rFonts w:ascii="Calibri" w:hAnsi="Calibri" w:eastAsia="Calibri" w:cs="Calibri"/>
                <w:lang w:val="en-GB"/>
              </w:rPr>
              <w:t>Court</w:t>
            </w:r>
          </w:p>
        </w:tc>
        <w:tc>
          <w:tcPr>
            <w:tcW w:w="6634" w:type="dxa"/>
            <w:tcMar/>
          </w:tcPr>
          <w:p w:rsidR="5D6F99C4" w:rsidP="5D6F99C4" w:rsidRDefault="5D6F99C4" w14:paraId="015A34DD" w14:textId="36E0CCA9">
            <w:pPr>
              <w:spacing w:line="259" w:lineRule="auto"/>
            </w:pPr>
            <w:r w:rsidRPr="5D6F99C4">
              <w:rPr>
                <w:rFonts w:ascii="Calibri" w:hAnsi="Calibri" w:eastAsia="Calibri" w:cs="Calibri"/>
                <w:lang w:val="en-GB"/>
              </w:rPr>
              <w:t>General Court</w:t>
            </w:r>
          </w:p>
        </w:tc>
      </w:tr>
      <w:tr w:rsidR="5D6F99C4" w:rsidTr="699D29EF" w14:paraId="099194D7" w14:textId="77777777">
        <w:tc>
          <w:tcPr>
            <w:tcW w:w="2392" w:type="dxa"/>
            <w:shd w:val="clear" w:color="auto" w:fill="FFFF00"/>
            <w:tcMar/>
          </w:tcPr>
          <w:p w:rsidR="5D6F99C4" w:rsidP="5D6F99C4" w:rsidRDefault="5D6F99C4" w14:paraId="21490C4B" w14:textId="0B51D1F3">
            <w:pPr>
              <w:spacing w:line="259" w:lineRule="auto"/>
            </w:pPr>
            <w:r w:rsidRPr="5D6F99C4">
              <w:rPr>
                <w:rFonts w:ascii="Calibri" w:hAnsi="Calibri" w:eastAsia="Calibri" w:cs="Calibri"/>
                <w:lang w:val="en-GB"/>
              </w:rPr>
              <w:t>Date of ruling</w:t>
            </w:r>
          </w:p>
        </w:tc>
        <w:tc>
          <w:tcPr>
            <w:tcW w:w="6634" w:type="dxa"/>
            <w:tcMar/>
          </w:tcPr>
          <w:p w:rsidR="0A360BA5" w:rsidP="5D6F99C4" w:rsidRDefault="0A360BA5" w14:paraId="71DC8663" w14:textId="1B8FCCF2">
            <w:pPr>
              <w:spacing w:line="259" w:lineRule="auto"/>
            </w:pPr>
            <w:r w:rsidRPr="5D6F99C4">
              <w:t xml:space="preserve">23 May 2019 </w:t>
            </w:r>
          </w:p>
        </w:tc>
      </w:tr>
      <w:tr w:rsidRPr="00A01C82" w:rsidR="5D6F99C4" w:rsidTr="699D29EF" w14:paraId="613E43E4" w14:textId="77777777">
        <w:tc>
          <w:tcPr>
            <w:tcW w:w="2392" w:type="dxa"/>
            <w:shd w:val="clear" w:color="auto" w:fill="FFFF00"/>
            <w:tcMar/>
          </w:tcPr>
          <w:p w:rsidR="5D6F99C4" w:rsidP="5D6F99C4" w:rsidRDefault="5D6F99C4" w14:paraId="4368C661" w14:textId="37F9EB23">
            <w:pPr>
              <w:spacing w:line="259" w:lineRule="auto"/>
            </w:pPr>
            <w:r w:rsidRPr="5D6F99C4">
              <w:rPr>
                <w:rFonts w:ascii="Calibri" w:hAnsi="Calibri" w:eastAsia="Calibri" w:cs="Calibri"/>
                <w:lang w:val="en-GB"/>
              </w:rPr>
              <w:t>Case name (short version)</w:t>
            </w:r>
          </w:p>
        </w:tc>
        <w:tc>
          <w:tcPr>
            <w:tcW w:w="6634" w:type="dxa"/>
            <w:tcMar/>
          </w:tcPr>
          <w:p w:rsidRPr="00A01C82" w:rsidR="495C19F4" w:rsidP="5D6F99C4" w:rsidRDefault="495C19F4" w14:paraId="1822D473" w14:textId="6BF59289">
            <w:pPr>
              <w:spacing w:line="259" w:lineRule="auto"/>
              <w:rPr>
                <w:rFonts w:ascii="Calibri" w:hAnsi="Calibri" w:eastAsia="Calibri" w:cs="Calibri"/>
                <w:b/>
                <w:bCs/>
                <w:color w:val="000000" w:themeColor="text1"/>
                <w:lang w:val="en-GB"/>
              </w:rPr>
            </w:pPr>
            <w:proofErr w:type="spellStart"/>
            <w:r w:rsidRPr="00A01C82">
              <w:rPr>
                <w:rFonts w:ascii="Calibri" w:hAnsi="Calibri" w:eastAsia="Calibri" w:cs="Calibri"/>
                <w:b/>
                <w:bCs/>
                <w:color w:val="000000" w:themeColor="text1"/>
                <w:lang w:val="en-GB"/>
              </w:rPr>
              <w:t>Recylex</w:t>
            </w:r>
            <w:proofErr w:type="spellEnd"/>
            <w:r w:rsidRPr="00A01C82">
              <w:rPr>
                <w:rFonts w:ascii="Calibri" w:hAnsi="Calibri" w:eastAsia="Calibri" w:cs="Calibri"/>
                <w:b/>
                <w:bCs/>
                <w:color w:val="000000" w:themeColor="text1"/>
                <w:lang w:val="en-GB"/>
              </w:rPr>
              <w:t xml:space="preserve"> SA and Others v European Commission</w:t>
            </w:r>
          </w:p>
        </w:tc>
      </w:tr>
      <w:tr w:rsidR="5D6F99C4" w:rsidTr="699D29EF" w14:paraId="1C8E71B4" w14:textId="77777777">
        <w:tc>
          <w:tcPr>
            <w:tcW w:w="2392" w:type="dxa"/>
            <w:shd w:val="clear" w:color="auto" w:fill="FFFF00"/>
            <w:tcMar/>
          </w:tcPr>
          <w:p w:rsidR="5D6F99C4" w:rsidP="5D6F99C4" w:rsidRDefault="5D6F99C4" w14:paraId="4735F991" w14:textId="27563A76">
            <w:pPr>
              <w:spacing w:line="259" w:lineRule="auto"/>
            </w:pPr>
            <w:r w:rsidRPr="5D6F99C4">
              <w:rPr>
                <w:rFonts w:ascii="Calibri" w:hAnsi="Calibri" w:eastAsia="Calibri" w:cs="Calibri"/>
                <w:lang w:val="en-GB"/>
              </w:rPr>
              <w:t>Case Citation</w:t>
            </w:r>
          </w:p>
        </w:tc>
        <w:tc>
          <w:tcPr>
            <w:tcW w:w="6634" w:type="dxa"/>
            <w:tcMar/>
          </w:tcPr>
          <w:p w:rsidR="157D0C7E" w:rsidP="699D29EF" w:rsidRDefault="157D0C7E" w14:paraId="7215C0D4" w14:textId="3C9A587D" w14:noSpellErr="1">
            <w:pPr>
              <w:spacing w:line="259" w:lineRule="auto"/>
              <w:rPr>
                <w:rFonts w:ascii="Calibri" w:hAnsi="Calibri" w:eastAsia="Calibri" w:cs="Calibri"/>
                <w:b w:val="1"/>
                <w:bCs w:val="1"/>
                <w:color w:val="000000" w:themeColor="text1" w:themeTint="FF" w:themeShade="FF"/>
              </w:rPr>
            </w:pPr>
            <w:r w:rsidRPr="699D29EF" w:rsidR="157D0C7E">
              <w:rPr>
                <w:rFonts w:ascii="Calibri" w:hAnsi="Calibri" w:eastAsia="Calibri" w:cs="Calibri"/>
                <w:b w:val="1"/>
                <w:bCs w:val="1"/>
                <w:color w:val="000000" w:themeColor="text1" w:themeTint="FF" w:themeShade="FF"/>
              </w:rPr>
              <w:t>T-222/17</w:t>
            </w:r>
          </w:p>
          <w:p w:rsidR="7E1D3B97" w:rsidP="699D29EF" w:rsidRDefault="7E1D3B97" w14:paraId="609BE300" w14:textId="6017D375" w14:noSpellErr="1">
            <w:pPr>
              <w:spacing w:line="259" w:lineRule="auto"/>
              <w:rPr>
                <w:rFonts w:ascii="Calibri" w:hAnsi="Calibri" w:eastAsia="Calibri" w:cs="Calibri"/>
                <w:color w:val="000000" w:themeColor="text1" w:themeTint="FF" w:themeShade="FF"/>
              </w:rPr>
            </w:pPr>
          </w:p>
          <w:p w:rsidR="157D0C7E" w:rsidP="699D29EF" w:rsidRDefault="157D0C7E" w14:paraId="44C9B1FC" w14:textId="1FC19B45" w14:noSpellErr="1">
            <w:pPr>
              <w:spacing w:line="259" w:lineRule="auto"/>
              <w:rPr>
                <w:rFonts w:ascii="Calibri" w:hAnsi="Calibri" w:eastAsia="Calibri" w:cs="Calibri"/>
                <w:color w:val="000000" w:themeColor="text1" w:themeTint="FF" w:themeShade="FF"/>
              </w:rPr>
            </w:pPr>
            <w:r w:rsidRPr="699D29EF" w:rsidR="157D0C7E">
              <w:rPr>
                <w:rFonts w:ascii="Calibri" w:hAnsi="Calibri" w:eastAsia="Calibri" w:cs="Calibri"/>
                <w:color w:val="000000" w:themeColor="text1" w:themeTint="FF" w:themeShade="FF"/>
              </w:rPr>
              <w:t>ECLI:EU:T:2019:356</w:t>
            </w:r>
          </w:p>
        </w:tc>
      </w:tr>
      <w:tr w:rsidRPr="00A01C82" w:rsidR="5D6F99C4" w:rsidTr="699D29EF" w14:paraId="09460123" w14:textId="77777777">
        <w:tc>
          <w:tcPr>
            <w:tcW w:w="2392" w:type="dxa"/>
            <w:shd w:val="clear" w:color="auto" w:fill="FFFF00"/>
            <w:tcMar/>
          </w:tcPr>
          <w:p w:rsidR="5D6F99C4" w:rsidP="5D6F99C4" w:rsidRDefault="5D6F99C4" w14:paraId="57C57095" w14:textId="43B06ABD">
            <w:pPr>
              <w:spacing w:line="259" w:lineRule="auto"/>
            </w:pPr>
            <w:r w:rsidRPr="5D6F99C4">
              <w:rPr>
                <w:rFonts w:ascii="Calibri" w:hAnsi="Calibri" w:eastAsia="Calibri" w:cs="Calibri"/>
                <w:lang w:val="en-GB"/>
              </w:rPr>
              <w:t>Key words</w:t>
            </w:r>
          </w:p>
        </w:tc>
        <w:tc>
          <w:tcPr>
            <w:tcW w:w="6634" w:type="dxa"/>
            <w:tcMar/>
          </w:tcPr>
          <w:p w:rsidRPr="00A01C82" w:rsidR="2E1D6D41" w:rsidP="5D6F99C4" w:rsidRDefault="2E1D6D41" w14:paraId="4B22E61B" w14:textId="06ADED90">
            <w:pPr>
              <w:spacing w:line="259" w:lineRule="auto"/>
              <w:rPr>
                <w:rFonts w:ascii="Calibri" w:hAnsi="Calibri" w:eastAsia="Calibri" w:cs="Calibri"/>
                <w:color w:val="000000" w:themeColor="text1"/>
                <w:lang w:val="en-GB"/>
              </w:rPr>
            </w:pPr>
            <w:r w:rsidRPr="00A01C82">
              <w:rPr>
                <w:rFonts w:ascii="Calibri" w:hAnsi="Calibri" w:eastAsia="Calibri" w:cs="Calibri"/>
                <w:color w:val="000000" w:themeColor="text1"/>
                <w:lang w:val="en-GB"/>
              </w:rPr>
              <w:t>Competition — Agreements, decisions and concerted practices — Market for lead-acid car battery recycling — Decision finding an infringement of Article 101 TFEU — Coordination of purchase prices — Fines — Point 26 of the 2006 Leniency Notice — Point 37 of the Guidelines on the method of setting fines — Unlimited jurisdiction</w:t>
            </w:r>
          </w:p>
        </w:tc>
      </w:tr>
      <w:tr w:rsidRPr="00A01C82" w:rsidR="5D6F99C4" w:rsidTr="699D29EF" w14:paraId="42ED7D6D" w14:textId="77777777">
        <w:tc>
          <w:tcPr>
            <w:tcW w:w="2392" w:type="dxa"/>
            <w:shd w:val="clear" w:color="auto" w:fill="FFFF00"/>
            <w:tcMar/>
          </w:tcPr>
          <w:p w:rsidR="5D6F99C4" w:rsidP="5D6F99C4" w:rsidRDefault="5D6F99C4" w14:paraId="757581E1" w14:textId="308A2876">
            <w:pPr>
              <w:spacing w:line="259" w:lineRule="auto"/>
            </w:pPr>
            <w:r w:rsidRPr="5D6F99C4">
              <w:rPr>
                <w:rFonts w:ascii="Calibri" w:hAnsi="Calibri" w:eastAsia="Calibri" w:cs="Calibri"/>
                <w:lang w:val="en-GB"/>
              </w:rPr>
              <w:t>Basic context</w:t>
            </w:r>
          </w:p>
        </w:tc>
        <w:tc>
          <w:tcPr>
            <w:tcW w:w="6634" w:type="dxa"/>
            <w:tcMar/>
          </w:tcPr>
          <w:p w:rsidRPr="00A01C82" w:rsidR="5D6F99C4" w:rsidP="00A01C82" w:rsidRDefault="53E5CFA5" w14:paraId="1F3F0C4B" w14:textId="64982554">
            <w:pPr>
              <w:rPr>
                <w:rFonts w:ascii="Calibri" w:hAnsi="Calibri" w:eastAsia="Calibri" w:cs="Calibri"/>
                <w:lang w:val="en-GB"/>
              </w:rPr>
            </w:pPr>
            <w:r w:rsidRPr="00A01C82">
              <w:rPr>
                <w:rFonts w:ascii="Calibri" w:hAnsi="Calibri" w:eastAsia="Calibri" w:cs="Calibri"/>
                <w:lang w:val="en-GB"/>
              </w:rPr>
              <w:t xml:space="preserve">By its judgment in Case T-222/17 </w:t>
            </w:r>
            <w:proofErr w:type="spellStart"/>
            <w:r w:rsidRPr="00A01C82">
              <w:rPr>
                <w:rFonts w:ascii="Calibri" w:hAnsi="Calibri" w:eastAsia="Calibri" w:cs="Calibri"/>
                <w:lang w:val="en-GB"/>
              </w:rPr>
              <w:t>Recylex</w:t>
            </w:r>
            <w:proofErr w:type="spellEnd"/>
            <w:r w:rsidRPr="00A01C82">
              <w:rPr>
                <w:rFonts w:ascii="Calibri" w:hAnsi="Calibri" w:eastAsia="Calibri" w:cs="Calibri"/>
                <w:lang w:val="en-GB"/>
              </w:rPr>
              <w:t xml:space="preserve"> and Others v Commission of 23 May 2019, the </w:t>
            </w:r>
            <w:r w:rsidR="002E1023">
              <w:rPr>
                <w:rFonts w:ascii="Calibri" w:hAnsi="Calibri" w:eastAsia="Calibri" w:cs="Calibri"/>
                <w:lang w:val="en-GB"/>
              </w:rPr>
              <w:t>Tribunal</w:t>
            </w:r>
            <w:r w:rsidRPr="00A01C82">
              <w:rPr>
                <w:rFonts w:ascii="Calibri" w:hAnsi="Calibri" w:eastAsia="Calibri" w:cs="Calibri"/>
                <w:lang w:val="en-GB"/>
              </w:rPr>
              <w:t xml:space="preserve"> dismissed the action brought by </w:t>
            </w:r>
            <w:proofErr w:type="spellStart"/>
            <w:r w:rsidRPr="00A01C82">
              <w:rPr>
                <w:rFonts w:ascii="Calibri" w:hAnsi="Calibri" w:eastAsia="Calibri" w:cs="Calibri"/>
                <w:lang w:val="en-GB"/>
              </w:rPr>
              <w:t>Recylex</w:t>
            </w:r>
            <w:proofErr w:type="spellEnd"/>
            <w:r w:rsidRPr="00A01C82">
              <w:rPr>
                <w:rFonts w:ascii="Calibri" w:hAnsi="Calibri" w:eastAsia="Calibri" w:cs="Calibri"/>
                <w:lang w:val="en-GB"/>
              </w:rPr>
              <w:t xml:space="preserve"> SA, </w:t>
            </w:r>
            <w:proofErr w:type="spellStart"/>
            <w:r w:rsidRPr="00A01C82">
              <w:rPr>
                <w:rFonts w:ascii="Calibri" w:hAnsi="Calibri" w:eastAsia="Calibri" w:cs="Calibri"/>
                <w:lang w:val="en-GB"/>
              </w:rPr>
              <w:t>Fonderie</w:t>
            </w:r>
            <w:proofErr w:type="spellEnd"/>
            <w:r w:rsidRPr="00A01C82">
              <w:rPr>
                <w:rFonts w:ascii="Calibri" w:hAnsi="Calibri" w:eastAsia="Calibri" w:cs="Calibri"/>
                <w:lang w:val="en-GB"/>
              </w:rPr>
              <w:t xml:space="preserve"> et Manufacture de </w:t>
            </w:r>
            <w:proofErr w:type="spellStart"/>
            <w:r w:rsidRPr="00A01C82">
              <w:rPr>
                <w:rFonts w:ascii="Calibri" w:hAnsi="Calibri" w:eastAsia="Calibri" w:cs="Calibri"/>
                <w:lang w:val="en-GB"/>
              </w:rPr>
              <w:t>Métaux</w:t>
            </w:r>
            <w:proofErr w:type="spellEnd"/>
            <w:r w:rsidRPr="00A01C82">
              <w:rPr>
                <w:rFonts w:ascii="Calibri" w:hAnsi="Calibri" w:eastAsia="Calibri" w:cs="Calibri"/>
                <w:lang w:val="en-GB"/>
              </w:rPr>
              <w:t xml:space="preserve"> SA and Harz-</w:t>
            </w:r>
            <w:proofErr w:type="spellStart"/>
            <w:r w:rsidRPr="00A01C82">
              <w:rPr>
                <w:rFonts w:ascii="Calibri" w:hAnsi="Calibri" w:eastAsia="Calibri" w:cs="Calibri"/>
                <w:lang w:val="en-GB"/>
              </w:rPr>
              <w:t>Metall</w:t>
            </w:r>
            <w:proofErr w:type="spellEnd"/>
            <w:r w:rsidRPr="00A01C82">
              <w:rPr>
                <w:rFonts w:ascii="Calibri" w:hAnsi="Calibri" w:eastAsia="Calibri" w:cs="Calibri"/>
                <w:lang w:val="en-GB"/>
              </w:rPr>
              <w:t xml:space="preserve"> GmbH (hereinafter '</w:t>
            </w:r>
            <w:proofErr w:type="spellStart"/>
            <w:r w:rsidRPr="00A01C82">
              <w:rPr>
                <w:rFonts w:ascii="Calibri" w:hAnsi="Calibri" w:eastAsia="Calibri" w:cs="Calibri"/>
                <w:lang w:val="en-GB"/>
              </w:rPr>
              <w:t>Recylex</w:t>
            </w:r>
            <w:proofErr w:type="spellEnd"/>
            <w:r w:rsidRPr="00A01C82">
              <w:rPr>
                <w:rFonts w:ascii="Calibri" w:hAnsi="Calibri" w:eastAsia="Calibri" w:cs="Calibri"/>
                <w:lang w:val="en-GB"/>
              </w:rPr>
              <w:t xml:space="preserve">'), companies active in the production of recycled lead and other products, seeking reduction of the amount of the fine imposed by the Commission in its decision{1} on an infringement of Article 101 TFEU. The infringement took the form of agreements or concerted practices between four groups of undertakings in the territories of Belgium, Germany, France and the Netherlands. It consisted in the co-ordination of purchase prices for waste lead-acid automotive batteries used for the production of recycled lead. </w:t>
            </w:r>
          </w:p>
        </w:tc>
      </w:tr>
      <w:tr w:rsidR="5D6F99C4" w:rsidTr="699D29EF" w14:paraId="26BBAAED" w14:textId="77777777">
        <w:tc>
          <w:tcPr>
            <w:tcW w:w="2392" w:type="dxa"/>
            <w:shd w:val="clear" w:color="auto" w:fill="FFFF00"/>
            <w:tcMar/>
          </w:tcPr>
          <w:p w:rsidR="5D6F99C4" w:rsidP="5D6F99C4" w:rsidRDefault="5D6F99C4" w14:paraId="3AC5EB61" w14:textId="3DAF9C3D">
            <w:pPr>
              <w:spacing w:line="259" w:lineRule="auto"/>
            </w:pPr>
            <w:r w:rsidRPr="5D6F99C4">
              <w:rPr>
                <w:rFonts w:ascii="Calibri" w:hAnsi="Calibri" w:eastAsia="Calibri" w:cs="Calibri"/>
                <w:lang w:val="en-GB"/>
              </w:rPr>
              <w:t xml:space="preserve">Points arising – admissibility </w:t>
            </w:r>
          </w:p>
        </w:tc>
        <w:tc>
          <w:tcPr>
            <w:tcW w:w="6634" w:type="dxa"/>
            <w:tcMar/>
          </w:tcPr>
          <w:p w:rsidR="7EF23709" w:rsidP="5D6F99C4" w:rsidRDefault="7EF23709" w14:paraId="133CA043" w14:textId="4B4AF468">
            <w:pPr>
              <w:spacing w:line="259" w:lineRule="auto"/>
              <w:rPr>
                <w:rFonts w:ascii="Calibri" w:hAnsi="Calibri" w:eastAsia="Calibri" w:cs="Calibri"/>
              </w:rPr>
            </w:pPr>
            <w:r w:rsidRPr="5D6F99C4">
              <w:rPr>
                <w:rFonts w:ascii="Calibri" w:hAnsi="Calibri" w:eastAsia="Calibri" w:cs="Calibri"/>
              </w:rPr>
              <w:t>-</w:t>
            </w:r>
          </w:p>
          <w:p w:rsidR="5D6F99C4" w:rsidP="5D6F99C4" w:rsidRDefault="5D6F99C4" w14:paraId="62F75679" w14:textId="2591E631">
            <w:pPr>
              <w:spacing w:line="259" w:lineRule="auto"/>
              <w:rPr>
                <w:rFonts w:ascii="Calibri" w:hAnsi="Calibri" w:eastAsia="Calibri" w:cs="Calibri"/>
              </w:rPr>
            </w:pPr>
          </w:p>
        </w:tc>
      </w:tr>
      <w:tr w:rsidRPr="00A01C82" w:rsidR="5D6F99C4" w:rsidTr="699D29EF" w14:paraId="19A12722" w14:textId="77777777">
        <w:tc>
          <w:tcPr>
            <w:tcW w:w="2392" w:type="dxa"/>
            <w:shd w:val="clear" w:color="auto" w:fill="FFFF00"/>
            <w:tcMar/>
          </w:tcPr>
          <w:p w:rsidR="5D6F99C4" w:rsidP="5D6F99C4" w:rsidRDefault="5D6F99C4" w14:paraId="17151DA5" w14:textId="65663219">
            <w:pPr>
              <w:spacing w:line="259" w:lineRule="auto"/>
            </w:pPr>
            <w:r w:rsidRPr="5D6F99C4">
              <w:rPr>
                <w:rFonts w:ascii="Calibri" w:hAnsi="Calibri" w:eastAsia="Calibri" w:cs="Calibri"/>
                <w:lang w:val="en-GB"/>
              </w:rPr>
              <w:t>Points arising – substance</w:t>
            </w:r>
          </w:p>
        </w:tc>
        <w:tc>
          <w:tcPr>
            <w:tcW w:w="6634" w:type="dxa"/>
            <w:tcMar/>
          </w:tcPr>
          <w:p w:rsidRPr="00A01C82" w:rsidR="28B4EEB1" w:rsidP="5D6F99C4" w:rsidRDefault="28B4EEB1" w14:paraId="0E6DC639" w14:textId="58A4E660">
            <w:pPr>
              <w:spacing w:line="259" w:lineRule="auto"/>
              <w:rPr>
                <w:rFonts w:ascii="Calibri" w:hAnsi="Calibri" w:eastAsia="Calibri" w:cs="Calibri"/>
                <w:lang w:val="en-GB"/>
              </w:rPr>
            </w:pPr>
            <w:r w:rsidRPr="00A01C82">
              <w:rPr>
                <w:rFonts w:ascii="Calibri" w:hAnsi="Calibri" w:eastAsia="Calibri" w:cs="Calibri"/>
                <w:i/>
                <w:iCs/>
                <w:lang w:val="en-GB"/>
              </w:rPr>
              <w:t>Competition - Fines - Amount - Determination - Commission notice on immunity from fines and reduction of fines in return for cooperation from the offending undertakings - Imperative nature for the Commission</w:t>
            </w:r>
          </w:p>
          <w:p w:rsidRPr="00A01C82" w:rsidR="5D6F99C4" w:rsidP="5D6F99C4" w:rsidRDefault="5D6F99C4" w14:paraId="7383B1FA" w14:textId="3609260D">
            <w:pPr>
              <w:spacing w:line="259" w:lineRule="auto"/>
              <w:rPr>
                <w:rFonts w:ascii="Calibri" w:hAnsi="Calibri" w:eastAsia="Calibri" w:cs="Calibri"/>
                <w:lang w:val="en-GB"/>
              </w:rPr>
            </w:pPr>
          </w:p>
          <w:p w:rsidRPr="00A01C82" w:rsidR="28B4EEB1" w:rsidP="7E1D3B97" w:rsidRDefault="28B4EEB1" w14:paraId="67BC6B2F" w14:textId="6AA56693">
            <w:pPr>
              <w:spacing w:line="259" w:lineRule="auto"/>
              <w:rPr>
                <w:rFonts w:ascii="Calibri" w:hAnsi="Calibri" w:eastAsia="Calibri" w:cs="Calibri"/>
                <w:i/>
                <w:iCs/>
                <w:lang w:val="en-GB"/>
              </w:rPr>
            </w:pPr>
            <w:r w:rsidRPr="00A01C82">
              <w:rPr>
                <w:rFonts w:ascii="Calibri" w:hAnsi="Calibri" w:eastAsia="Calibri" w:cs="Calibri"/>
                <w:i/>
                <w:iCs/>
                <w:lang w:val="en-GB"/>
              </w:rPr>
              <w:t>Competition - Fines - Amount - Determination - Reduction of the fine in return for the cooperation of the undertaking concerned - Conditions - Undertaking first to provide decisive evidence - Criteria for assessment</w:t>
            </w:r>
          </w:p>
          <w:p w:rsidRPr="00A01C82" w:rsidR="5D6F99C4" w:rsidP="7E1D3B97" w:rsidRDefault="5D6F99C4" w14:paraId="483E5BC3" w14:textId="2849C022">
            <w:pPr>
              <w:spacing w:line="259" w:lineRule="auto"/>
              <w:rPr>
                <w:rFonts w:ascii="Calibri" w:hAnsi="Calibri" w:eastAsia="Calibri" w:cs="Calibri"/>
                <w:lang w:val="en-GB"/>
              </w:rPr>
            </w:pPr>
          </w:p>
          <w:p w:rsidRPr="00A01C82" w:rsidR="28B4EEB1" w:rsidP="7E1D3B97" w:rsidRDefault="28B4EEB1" w14:paraId="024B9152" w14:textId="573038F1">
            <w:pPr>
              <w:spacing w:line="259" w:lineRule="auto"/>
              <w:rPr>
                <w:rFonts w:ascii="Calibri" w:hAnsi="Calibri" w:eastAsia="Calibri" w:cs="Calibri"/>
                <w:i/>
                <w:iCs/>
                <w:lang w:val="en-GB"/>
              </w:rPr>
            </w:pPr>
            <w:r w:rsidRPr="00A01C82">
              <w:rPr>
                <w:rFonts w:ascii="Calibri" w:hAnsi="Calibri" w:eastAsia="Calibri" w:cs="Calibri"/>
                <w:i/>
                <w:iCs/>
                <w:lang w:val="en-GB"/>
              </w:rPr>
              <w:t>Competition - Fines - Amount - Determination - Judicial review - Full jurisdiction of the Union judicature - Scope - Taking account of the Guidelines on the method of setting fines – Limits</w:t>
            </w:r>
          </w:p>
          <w:p w:rsidRPr="00A01C82" w:rsidR="5D6F99C4" w:rsidP="5D6F99C4" w:rsidRDefault="5D6F99C4" w14:paraId="0DBF2892" w14:textId="20059FCD">
            <w:pPr>
              <w:spacing w:line="259" w:lineRule="auto"/>
              <w:rPr>
                <w:rFonts w:ascii="Calibri" w:hAnsi="Calibri" w:eastAsia="Calibri" w:cs="Calibri"/>
                <w:lang w:val="en-GB"/>
              </w:rPr>
            </w:pPr>
          </w:p>
          <w:p w:rsidRPr="00A01C82" w:rsidR="28B4EEB1" w:rsidP="7E1D3B97" w:rsidRDefault="28B4EEB1" w14:paraId="61D2DA67" w14:textId="270B7E42">
            <w:pPr>
              <w:spacing w:line="259" w:lineRule="auto"/>
              <w:rPr>
                <w:rFonts w:ascii="Calibri" w:hAnsi="Calibri" w:eastAsia="Calibri" w:cs="Calibri"/>
                <w:i/>
                <w:iCs/>
                <w:lang w:val="en-GB"/>
              </w:rPr>
            </w:pPr>
            <w:r w:rsidRPr="00A01C82">
              <w:rPr>
                <w:rFonts w:ascii="Calibri" w:hAnsi="Calibri" w:eastAsia="Calibri" w:cs="Calibri"/>
                <w:i/>
                <w:iCs/>
                <w:lang w:val="en-GB"/>
              </w:rPr>
              <w:t>Competition - Fines - Amount - Determination - Adjustment of the basic amount - Contributory capacity - Obligation to take account of the loss-making financial situation of the undertaking concerned – Absence</w:t>
            </w:r>
          </w:p>
          <w:p w:rsidRPr="00A01C82" w:rsidR="5D6F99C4" w:rsidP="5D6F99C4" w:rsidRDefault="5D6F99C4" w14:paraId="30F6270A" w14:textId="2D5624C3">
            <w:pPr>
              <w:spacing w:line="259" w:lineRule="auto"/>
              <w:rPr>
                <w:lang w:val="en-GB"/>
              </w:rPr>
            </w:pPr>
          </w:p>
          <w:p w:rsidRPr="00A01C82" w:rsidR="28B4EEB1" w:rsidP="5D6F99C4" w:rsidRDefault="28B4EEB1" w14:paraId="02C1DFD1" w14:textId="0261A611">
            <w:pPr>
              <w:rPr>
                <w:rFonts w:ascii="Calibri" w:hAnsi="Calibri" w:eastAsia="Calibri" w:cs="Calibri"/>
                <w:lang w:val="en-GB"/>
              </w:rPr>
            </w:pPr>
            <w:r w:rsidRPr="00A01C82">
              <w:rPr>
                <w:rFonts w:ascii="Calibri" w:hAnsi="Calibri" w:eastAsia="Calibri" w:cs="Calibri"/>
                <w:lang w:val="en-GB"/>
              </w:rPr>
              <w:t xml:space="preserve">The administrative procedure which led to the contested decision was initiated following an application for immunity by JCI, one of the groups of undertakings concerned. Eco-Bat, another group of undertakings, and then </w:t>
            </w:r>
            <w:proofErr w:type="spellStart"/>
            <w:r w:rsidRPr="00A01C82">
              <w:rPr>
                <w:rFonts w:ascii="Calibri" w:hAnsi="Calibri" w:eastAsia="Calibri" w:cs="Calibri"/>
                <w:lang w:val="en-GB"/>
              </w:rPr>
              <w:t>Recylex</w:t>
            </w:r>
            <w:proofErr w:type="spellEnd"/>
            <w:r w:rsidRPr="00A01C82">
              <w:rPr>
                <w:rFonts w:ascii="Calibri" w:hAnsi="Calibri" w:eastAsia="Calibri" w:cs="Calibri"/>
                <w:lang w:val="en-GB"/>
              </w:rPr>
              <w:t xml:space="preserve"> applied for immunity or, alternatively, reduction of a fine under the Commission's 2006 Notice on Cooperation{2}. JCI was granted immunity and Eco-Bat was granted a 50 % reduction of the fine on the grounds that it was the first company to provide evidence with </w:t>
            </w:r>
            <w:r w:rsidRPr="00A01C82">
              <w:rPr>
                <w:rFonts w:ascii="Calibri" w:hAnsi="Calibri" w:eastAsia="Calibri" w:cs="Calibri"/>
                <w:lang w:val="en-GB"/>
              </w:rPr>
              <w:lastRenderedPageBreak/>
              <w:t xml:space="preserve">significant added value. </w:t>
            </w:r>
            <w:proofErr w:type="spellStart"/>
            <w:r w:rsidRPr="00A01C82">
              <w:rPr>
                <w:rFonts w:ascii="Calibri" w:hAnsi="Calibri" w:eastAsia="Calibri" w:cs="Calibri"/>
                <w:lang w:val="en-GB"/>
              </w:rPr>
              <w:t>Recylex</w:t>
            </w:r>
            <w:proofErr w:type="spellEnd"/>
            <w:r w:rsidRPr="00A01C82">
              <w:rPr>
                <w:rFonts w:ascii="Calibri" w:hAnsi="Calibri" w:eastAsia="Calibri" w:cs="Calibri"/>
                <w:lang w:val="en-GB"/>
              </w:rPr>
              <w:t xml:space="preserve">, the second company to provide such evidence, was granted a 30 % reduction. </w:t>
            </w:r>
          </w:p>
          <w:p w:rsidRPr="00A01C82" w:rsidR="5D6F99C4" w:rsidP="5D6F99C4" w:rsidRDefault="5D6F99C4" w14:paraId="13337F77" w14:textId="1C74CA42">
            <w:pPr>
              <w:rPr>
                <w:rFonts w:ascii="Calibri" w:hAnsi="Calibri" w:eastAsia="Calibri" w:cs="Calibri"/>
                <w:lang w:val="en-GB"/>
              </w:rPr>
            </w:pPr>
          </w:p>
          <w:p w:rsidRPr="00A01C82" w:rsidR="28B4EEB1" w:rsidP="5D6F99C4" w:rsidRDefault="28B4EEB1" w14:paraId="2689C8E5" w14:textId="08FEC12F">
            <w:pPr>
              <w:rPr>
                <w:rFonts w:ascii="Calibri" w:hAnsi="Calibri" w:eastAsia="Calibri" w:cs="Calibri"/>
                <w:lang w:val="en-GB"/>
              </w:rPr>
            </w:pPr>
            <w:r w:rsidRPr="00A01C82">
              <w:rPr>
                <w:rFonts w:ascii="Calibri" w:hAnsi="Calibri" w:eastAsia="Calibri" w:cs="Calibri"/>
                <w:lang w:val="en-GB"/>
              </w:rPr>
              <w:t xml:space="preserve">In this context, the </w:t>
            </w:r>
            <w:r w:rsidR="002E1023">
              <w:rPr>
                <w:rFonts w:ascii="Calibri" w:hAnsi="Calibri" w:eastAsia="Calibri" w:cs="Calibri"/>
                <w:lang w:val="en-GB"/>
              </w:rPr>
              <w:t>Tribunal</w:t>
            </w:r>
            <w:r w:rsidRPr="00A01C82" w:rsidR="002E1023">
              <w:rPr>
                <w:rFonts w:ascii="Calibri" w:hAnsi="Calibri" w:eastAsia="Calibri" w:cs="Calibri"/>
                <w:lang w:val="en-GB"/>
              </w:rPr>
              <w:t xml:space="preserve"> </w:t>
            </w:r>
            <w:r w:rsidRPr="00A01C82">
              <w:rPr>
                <w:rFonts w:ascii="Calibri" w:hAnsi="Calibri" w:eastAsia="Calibri" w:cs="Calibri"/>
                <w:lang w:val="en-GB"/>
              </w:rPr>
              <w:t xml:space="preserve">had to decide whether, where two undertakings provided evidence with significant added value, the second undertaking could take the place of the first, if the latter's cooperation proved not to comply with the requirements of paragraph 12 of the 2006 Cooperation Notice. </w:t>
            </w:r>
          </w:p>
          <w:p w:rsidRPr="00A01C82" w:rsidR="5D6F99C4" w:rsidP="5D6F99C4" w:rsidRDefault="5D6F99C4" w14:paraId="31A1B659" w14:textId="3F34650C">
            <w:pPr>
              <w:rPr>
                <w:rFonts w:ascii="Calibri" w:hAnsi="Calibri" w:eastAsia="Calibri" w:cs="Calibri"/>
                <w:lang w:val="en-GB"/>
              </w:rPr>
            </w:pPr>
          </w:p>
          <w:p w:rsidRPr="00A01C82" w:rsidR="28B4EEB1" w:rsidP="5D6F99C4" w:rsidRDefault="28B4EEB1" w14:paraId="102226FA" w14:textId="04211518">
            <w:pPr>
              <w:rPr>
                <w:rFonts w:ascii="Calibri" w:hAnsi="Calibri" w:eastAsia="Calibri" w:cs="Calibri"/>
                <w:lang w:val="en-GB"/>
              </w:rPr>
            </w:pPr>
            <w:r w:rsidRPr="00A01C82">
              <w:rPr>
                <w:rFonts w:ascii="Calibri" w:hAnsi="Calibri" w:eastAsia="Calibri" w:cs="Calibri"/>
                <w:lang w:val="en-GB"/>
              </w:rPr>
              <w:t xml:space="preserve">In that regard, the </w:t>
            </w:r>
            <w:r w:rsidR="002E1023">
              <w:rPr>
                <w:rFonts w:ascii="Calibri" w:hAnsi="Calibri" w:eastAsia="Calibri" w:cs="Calibri"/>
                <w:lang w:val="en-GB"/>
              </w:rPr>
              <w:t>Tribunal</w:t>
            </w:r>
            <w:r w:rsidRPr="00A01C82" w:rsidR="002E1023">
              <w:rPr>
                <w:rFonts w:ascii="Calibri" w:hAnsi="Calibri" w:eastAsia="Calibri" w:cs="Calibri"/>
                <w:lang w:val="en-GB"/>
              </w:rPr>
              <w:t xml:space="preserve"> </w:t>
            </w:r>
            <w:r w:rsidRPr="00A01C82">
              <w:rPr>
                <w:rFonts w:ascii="Calibri" w:hAnsi="Calibri" w:eastAsia="Calibri" w:cs="Calibri"/>
                <w:lang w:val="en-GB"/>
              </w:rPr>
              <w:t>found that it follows, inter alia, from the very logic of the 2006 Cooperation Notice that the effect sought is to create a climate of uncertainty within cartels by encouraging their denunciation to the Commission. That uncertainty arises precisely because the participants in the cartel know that only one of them will be able to benefit from immunity from fines by denouncing the other participants in the infringement, thereby exposing them to the risk of fines being imposed on them. Under this system, and according to the same logic, undertakings that are quickest to cooperate are expected to benefit from greater reductions in the fines to which they would otherwise be subject than those granted to undertakings that are slower to cooperate. The chronological order and speed of cooperation offered by cartel members are therefore fundamental elements of the system set up by the 2006 Cooperation Notice.</w:t>
            </w:r>
          </w:p>
          <w:p w:rsidRPr="00A01C82" w:rsidR="5D6F99C4" w:rsidP="5D6F99C4" w:rsidRDefault="5D6F99C4" w14:paraId="23C731CF" w14:textId="037A1ACB">
            <w:pPr>
              <w:rPr>
                <w:rFonts w:ascii="Calibri" w:hAnsi="Calibri" w:eastAsia="Calibri" w:cs="Calibri"/>
                <w:lang w:val="en-GB"/>
              </w:rPr>
            </w:pPr>
          </w:p>
          <w:p w:rsidRPr="00A01C82" w:rsidR="28B4EEB1" w:rsidP="5D6F99C4" w:rsidRDefault="28B4EEB1" w14:paraId="22D1C2C0" w14:textId="135786C1">
            <w:pPr>
              <w:rPr>
                <w:rFonts w:ascii="Calibri" w:hAnsi="Calibri" w:eastAsia="Calibri" w:cs="Calibri"/>
                <w:lang w:val="en-GB"/>
              </w:rPr>
            </w:pPr>
            <w:r w:rsidRPr="00A01C82">
              <w:rPr>
                <w:rFonts w:ascii="Calibri" w:hAnsi="Calibri" w:eastAsia="Calibri" w:cs="Calibri"/>
                <w:lang w:val="en-GB"/>
              </w:rPr>
              <w:t xml:space="preserve">{1 Commission Decision C(2017) 900 final of 8 February 2017 relating to a proceeding under Article 101 TFEU (Case AT.40018 - Recycling of automotive batteries).} {1 Commission Decision C(2017) 900 final of 8 February 2017 relating to a proceeding under Article 101 TFEU (Case AT.40018 - Recycling of automotive batteries). </w:t>
            </w:r>
          </w:p>
          <w:p w:rsidRPr="00A01C82" w:rsidR="5D6F99C4" w:rsidP="5D6F99C4" w:rsidRDefault="5D6F99C4" w14:paraId="2AEB032C" w14:textId="0C85970F">
            <w:pPr>
              <w:rPr>
                <w:rFonts w:ascii="Calibri" w:hAnsi="Calibri" w:eastAsia="Calibri" w:cs="Calibri"/>
                <w:lang w:val="en-GB"/>
              </w:rPr>
            </w:pPr>
          </w:p>
          <w:p w:rsidRPr="00A01C82" w:rsidR="28B4EEB1" w:rsidP="5D6F99C4" w:rsidRDefault="28B4EEB1" w14:paraId="63053CCB" w14:textId="0565CA37">
            <w:pPr>
              <w:rPr>
                <w:rFonts w:ascii="Calibri" w:hAnsi="Calibri" w:eastAsia="Calibri" w:cs="Calibri"/>
                <w:lang w:val="en-GB"/>
              </w:rPr>
            </w:pPr>
            <w:r w:rsidRPr="00A01C82">
              <w:rPr>
                <w:rFonts w:ascii="Calibri" w:hAnsi="Calibri" w:eastAsia="Calibri" w:cs="Calibri"/>
                <w:lang w:val="en-GB"/>
              </w:rPr>
              <w:t>{2 Commission Notice on Immunity from fines and reduction of fines in cartel cases (OJ 2006 C 298, p. 17).} {3 Commission Decision C(2017) 900 final of 8 February 2017 relating to a proceeding under Article 101 TFEU (Case AT.40018 - Recycling of car batteries).</w:t>
            </w:r>
          </w:p>
          <w:p w:rsidRPr="00A01C82" w:rsidR="5D6F99C4" w:rsidP="5D6F99C4" w:rsidRDefault="5D6F99C4" w14:paraId="0CE13FE0" w14:textId="1A284300">
            <w:pPr>
              <w:spacing w:line="259" w:lineRule="auto"/>
              <w:rPr>
                <w:lang w:val="en-GB"/>
              </w:rPr>
            </w:pPr>
          </w:p>
        </w:tc>
      </w:tr>
      <w:tr w:rsidR="5D6F99C4" w:rsidTr="699D29EF" w14:paraId="7A1BBC71" w14:textId="77777777">
        <w:tc>
          <w:tcPr>
            <w:tcW w:w="2392" w:type="dxa"/>
            <w:shd w:val="clear" w:color="auto" w:fill="FFFF00"/>
            <w:tcMar/>
          </w:tcPr>
          <w:p w:rsidR="5D6F99C4" w:rsidP="5D6F99C4" w:rsidRDefault="5D6F99C4" w14:paraId="510A0076" w14:textId="31379225">
            <w:pPr>
              <w:spacing w:line="259" w:lineRule="auto"/>
            </w:pPr>
            <w:r w:rsidRPr="5D6F99C4">
              <w:rPr>
                <w:rFonts w:ascii="Calibri" w:hAnsi="Calibri" w:eastAsia="Calibri" w:cs="Calibri"/>
                <w:lang w:val="en-GB"/>
              </w:rPr>
              <w:lastRenderedPageBreak/>
              <w:t>Intervention</w:t>
            </w:r>
          </w:p>
        </w:tc>
        <w:tc>
          <w:tcPr>
            <w:tcW w:w="6634" w:type="dxa"/>
            <w:tcMar/>
          </w:tcPr>
          <w:p w:rsidR="27E62751" w:rsidP="5D6F99C4" w:rsidRDefault="27E62751" w14:paraId="73FFEA52" w14:textId="326EE4C4">
            <w:pPr>
              <w:spacing w:line="259" w:lineRule="auto"/>
            </w:pPr>
            <w:r w:rsidRPr="5D6F99C4">
              <w:t>-</w:t>
            </w:r>
          </w:p>
        </w:tc>
      </w:tr>
      <w:tr w:rsidR="5D6F99C4" w:rsidTr="699D29EF" w14:paraId="4EB0CB5D" w14:textId="77777777">
        <w:tc>
          <w:tcPr>
            <w:tcW w:w="2392" w:type="dxa"/>
            <w:shd w:val="clear" w:color="auto" w:fill="FFFF00"/>
            <w:tcMar/>
          </w:tcPr>
          <w:p w:rsidR="5D6F99C4" w:rsidP="5D6F99C4" w:rsidRDefault="5D6F99C4" w14:paraId="47D9E17C" w14:textId="79F8135D">
            <w:pPr>
              <w:spacing w:line="259" w:lineRule="auto"/>
            </w:pPr>
            <w:r w:rsidRPr="5D6F99C4">
              <w:rPr>
                <w:rFonts w:ascii="Calibri" w:hAnsi="Calibri" w:eastAsia="Calibri" w:cs="Calibri"/>
                <w:lang w:val="en-GB"/>
              </w:rPr>
              <w:t>Interim measures</w:t>
            </w:r>
          </w:p>
        </w:tc>
        <w:tc>
          <w:tcPr>
            <w:tcW w:w="6634" w:type="dxa"/>
            <w:tcMar/>
          </w:tcPr>
          <w:p w:rsidR="18BCAFBC" w:rsidP="5D6F99C4" w:rsidRDefault="18BCAFBC" w14:paraId="69EAD617" w14:textId="558E9978">
            <w:pPr>
              <w:spacing w:line="259" w:lineRule="auto"/>
            </w:pPr>
            <w:r w:rsidRPr="5D6F99C4">
              <w:t>-</w:t>
            </w:r>
          </w:p>
        </w:tc>
      </w:tr>
      <w:tr w:rsidRPr="00A01C82" w:rsidR="5D6F99C4" w:rsidTr="699D29EF" w14:paraId="7AAE906F" w14:textId="77777777">
        <w:tc>
          <w:tcPr>
            <w:tcW w:w="2392" w:type="dxa"/>
            <w:shd w:val="clear" w:color="auto" w:fill="FFFF00"/>
            <w:tcMar/>
          </w:tcPr>
          <w:p w:rsidR="5D6F99C4" w:rsidP="5D6F99C4" w:rsidRDefault="5D6F99C4" w14:paraId="59F03228" w14:textId="322F3116">
            <w:pPr>
              <w:spacing w:line="259" w:lineRule="auto"/>
            </w:pPr>
            <w:r w:rsidRPr="5D6F99C4">
              <w:rPr>
                <w:rFonts w:ascii="Calibri" w:hAnsi="Calibri" w:eastAsia="Calibri" w:cs="Calibri"/>
                <w:lang w:val="en-GB"/>
              </w:rPr>
              <w:t>Order</w:t>
            </w:r>
          </w:p>
        </w:tc>
        <w:tc>
          <w:tcPr>
            <w:tcW w:w="6634" w:type="dxa"/>
            <w:tcMar/>
          </w:tcPr>
          <w:p w:rsidRPr="000561A4" w:rsidR="7B84B5E9" w:rsidP="5D6F99C4" w:rsidRDefault="7B84B5E9" w14:paraId="4AF29516" w14:textId="6DE03565">
            <w:pPr>
              <w:ind w:left="567" w:hanging="567"/>
              <w:jc w:val="both"/>
              <w:rPr>
                <w:rFonts w:ascii="Calibri" w:hAnsi="Calibri" w:eastAsia="Calibri" w:cs="Calibri"/>
                <w:color w:val="000000" w:themeColor="text1"/>
                <w:lang w:val="en-GB"/>
              </w:rPr>
            </w:pPr>
            <w:bookmarkStart w:name="_GoBack" w:id="0"/>
            <w:r w:rsidRPr="000561A4">
              <w:rPr>
                <w:rFonts w:ascii="Calibri" w:hAnsi="Calibri" w:eastAsia="Calibri" w:cs="Calibri"/>
                <w:color w:val="000000" w:themeColor="text1"/>
                <w:lang w:val="en-GB"/>
              </w:rPr>
              <w:t>1.      Dismisses the action;</w:t>
            </w:r>
          </w:p>
          <w:p w:rsidRPr="000561A4" w:rsidR="5D6F99C4" w:rsidP="5D6F99C4" w:rsidRDefault="5D6F99C4" w14:paraId="00FC84FF" w14:textId="79342072">
            <w:pPr>
              <w:ind w:left="567" w:hanging="567"/>
              <w:jc w:val="both"/>
              <w:rPr>
                <w:rFonts w:ascii="Calibri" w:hAnsi="Calibri" w:eastAsia="Calibri" w:cs="Calibri"/>
                <w:color w:val="000000" w:themeColor="text1"/>
                <w:lang w:val="en-GB"/>
              </w:rPr>
            </w:pPr>
          </w:p>
          <w:p w:rsidRPr="00A01C82" w:rsidR="7B84B5E9" w:rsidP="5D6F99C4" w:rsidRDefault="7B84B5E9" w14:paraId="71C1D773" w14:textId="784E30A2">
            <w:pPr>
              <w:ind w:left="567" w:hanging="567"/>
              <w:jc w:val="both"/>
              <w:rPr>
                <w:rFonts w:ascii="Calibri" w:hAnsi="Calibri" w:eastAsia="Calibri" w:cs="Calibri"/>
                <w:b/>
                <w:bCs/>
                <w:color w:val="000000" w:themeColor="text1"/>
                <w:lang w:val="en-GB"/>
              </w:rPr>
            </w:pPr>
            <w:r w:rsidRPr="000561A4">
              <w:rPr>
                <w:rFonts w:ascii="Calibri" w:hAnsi="Calibri" w:eastAsia="Calibri" w:cs="Calibri"/>
                <w:color w:val="000000" w:themeColor="text1"/>
                <w:lang w:val="en-GB"/>
              </w:rPr>
              <w:t xml:space="preserve">2.      Orders </w:t>
            </w:r>
            <w:proofErr w:type="spellStart"/>
            <w:r w:rsidRPr="000561A4">
              <w:rPr>
                <w:rFonts w:ascii="Calibri" w:hAnsi="Calibri" w:eastAsia="Calibri" w:cs="Calibri"/>
                <w:color w:val="000000" w:themeColor="text1"/>
                <w:lang w:val="en-GB"/>
              </w:rPr>
              <w:t>Recylex</w:t>
            </w:r>
            <w:proofErr w:type="spellEnd"/>
            <w:r w:rsidRPr="000561A4">
              <w:rPr>
                <w:rFonts w:ascii="Calibri" w:hAnsi="Calibri" w:eastAsia="Calibri" w:cs="Calibri"/>
                <w:color w:val="000000" w:themeColor="text1"/>
                <w:lang w:val="en-GB"/>
              </w:rPr>
              <w:t xml:space="preserve"> SA, </w:t>
            </w:r>
            <w:proofErr w:type="spellStart"/>
            <w:r w:rsidRPr="000561A4">
              <w:rPr>
                <w:rFonts w:ascii="Calibri" w:hAnsi="Calibri" w:eastAsia="Calibri" w:cs="Calibri"/>
                <w:color w:val="000000" w:themeColor="text1"/>
                <w:lang w:val="en-GB"/>
              </w:rPr>
              <w:t>Fonderie</w:t>
            </w:r>
            <w:proofErr w:type="spellEnd"/>
            <w:r w:rsidRPr="000561A4">
              <w:rPr>
                <w:rFonts w:ascii="Calibri" w:hAnsi="Calibri" w:eastAsia="Calibri" w:cs="Calibri"/>
                <w:color w:val="000000" w:themeColor="text1"/>
                <w:lang w:val="en-GB"/>
              </w:rPr>
              <w:t xml:space="preserve"> et Manufacture de </w:t>
            </w:r>
            <w:proofErr w:type="spellStart"/>
            <w:r w:rsidRPr="000561A4">
              <w:rPr>
                <w:rFonts w:ascii="Calibri" w:hAnsi="Calibri" w:eastAsia="Calibri" w:cs="Calibri"/>
                <w:color w:val="000000" w:themeColor="text1"/>
                <w:lang w:val="en-GB"/>
              </w:rPr>
              <w:t>Métaux</w:t>
            </w:r>
            <w:proofErr w:type="spellEnd"/>
            <w:r w:rsidRPr="000561A4">
              <w:rPr>
                <w:rFonts w:ascii="Calibri" w:hAnsi="Calibri" w:eastAsia="Calibri" w:cs="Calibri"/>
                <w:color w:val="000000" w:themeColor="text1"/>
                <w:lang w:val="en-GB"/>
              </w:rPr>
              <w:t xml:space="preserve"> SA and Harz-</w:t>
            </w:r>
            <w:proofErr w:type="spellStart"/>
            <w:r w:rsidRPr="000561A4">
              <w:rPr>
                <w:rFonts w:ascii="Calibri" w:hAnsi="Calibri" w:eastAsia="Calibri" w:cs="Calibri"/>
                <w:color w:val="000000" w:themeColor="text1"/>
                <w:lang w:val="en-GB"/>
              </w:rPr>
              <w:t>Metall</w:t>
            </w:r>
            <w:proofErr w:type="spellEnd"/>
            <w:r w:rsidRPr="000561A4">
              <w:rPr>
                <w:rFonts w:ascii="Calibri" w:hAnsi="Calibri" w:eastAsia="Calibri" w:cs="Calibri"/>
                <w:color w:val="000000" w:themeColor="text1"/>
                <w:lang w:val="en-GB"/>
              </w:rPr>
              <w:t xml:space="preserve"> GmbH to pay the costs.</w:t>
            </w:r>
            <w:bookmarkEnd w:id="0"/>
          </w:p>
        </w:tc>
      </w:tr>
      <w:tr w:rsidR="5D6F99C4" w:rsidTr="699D29EF" w14:paraId="79BCEC97" w14:textId="77777777">
        <w:tc>
          <w:tcPr>
            <w:tcW w:w="2392" w:type="dxa"/>
            <w:shd w:val="clear" w:color="auto" w:fill="FFFF00"/>
            <w:tcMar/>
          </w:tcPr>
          <w:p w:rsidR="5D6F99C4" w:rsidP="5D6F99C4" w:rsidRDefault="5D6F99C4" w14:paraId="052132B6" w14:textId="21CE0FA0">
            <w:pPr>
              <w:spacing w:line="259" w:lineRule="auto"/>
            </w:pPr>
            <w:r w:rsidRPr="5D6F99C4">
              <w:rPr>
                <w:rFonts w:ascii="Calibri" w:hAnsi="Calibri" w:eastAsia="Calibri" w:cs="Calibri"/>
                <w:lang w:val="en-GB"/>
              </w:rPr>
              <w:t>Fine changed</w:t>
            </w:r>
          </w:p>
        </w:tc>
        <w:tc>
          <w:tcPr>
            <w:tcW w:w="6634" w:type="dxa"/>
            <w:tcMar/>
          </w:tcPr>
          <w:p w:rsidR="140558F3" w:rsidP="5D6F99C4" w:rsidRDefault="140558F3" w14:paraId="32E45E12" w14:textId="29A1AF1D">
            <w:pPr>
              <w:spacing w:line="259" w:lineRule="auto"/>
            </w:pPr>
            <w:r w:rsidRPr="5D6F99C4">
              <w:t>-</w:t>
            </w:r>
          </w:p>
        </w:tc>
      </w:tr>
      <w:tr w:rsidR="5D6F99C4" w:rsidTr="699D29EF" w14:paraId="353A8AE0" w14:textId="77777777">
        <w:tc>
          <w:tcPr>
            <w:tcW w:w="2392" w:type="dxa"/>
            <w:shd w:val="clear" w:color="auto" w:fill="FFFF00"/>
            <w:tcMar/>
          </w:tcPr>
          <w:p w:rsidR="5D6F99C4" w:rsidP="5D6F99C4" w:rsidRDefault="5D6F99C4" w14:paraId="44C9ADFB" w14:textId="6131203B">
            <w:pPr>
              <w:spacing w:line="259" w:lineRule="auto"/>
            </w:pPr>
            <w:r w:rsidRPr="5D6F99C4">
              <w:rPr>
                <w:rFonts w:ascii="Calibri" w:hAnsi="Calibri" w:eastAsia="Calibri" w:cs="Calibri"/>
                <w:lang w:val="en-GB"/>
              </w:rPr>
              <w:t>Case duration</w:t>
            </w:r>
          </w:p>
        </w:tc>
        <w:tc>
          <w:tcPr>
            <w:tcW w:w="6634" w:type="dxa"/>
            <w:tcMar/>
          </w:tcPr>
          <w:p w:rsidR="75FD284C" w:rsidP="5D6F99C4" w:rsidRDefault="75FD284C" w14:paraId="384C2EBD" w14:textId="2E7E9AF9">
            <w:pPr>
              <w:spacing w:line="259" w:lineRule="auto"/>
            </w:pPr>
            <w:r w:rsidRPr="5D6F99C4">
              <w:t xml:space="preserve">2 </w:t>
            </w:r>
            <w:proofErr w:type="spellStart"/>
            <w:r w:rsidRPr="5D6F99C4">
              <w:t>years</w:t>
            </w:r>
            <w:proofErr w:type="spellEnd"/>
            <w:r w:rsidRPr="5D6F99C4">
              <w:t xml:space="preserve"> 1 </w:t>
            </w:r>
            <w:proofErr w:type="spellStart"/>
            <w:r w:rsidRPr="5D6F99C4">
              <w:t>month</w:t>
            </w:r>
            <w:proofErr w:type="spellEnd"/>
          </w:p>
        </w:tc>
      </w:tr>
      <w:tr w:rsidR="5D6F99C4" w:rsidTr="699D29EF" w14:paraId="6CE7A6AA" w14:textId="77777777">
        <w:tc>
          <w:tcPr>
            <w:tcW w:w="2392" w:type="dxa"/>
            <w:shd w:val="clear" w:color="auto" w:fill="FFFF00"/>
            <w:tcMar/>
          </w:tcPr>
          <w:p w:rsidR="5D6F99C4" w:rsidP="5D6F99C4" w:rsidRDefault="5D6F99C4" w14:paraId="2A0ACCA1" w14:textId="6BF0B6C7">
            <w:pPr>
              <w:spacing w:line="259" w:lineRule="auto"/>
            </w:pPr>
            <w:r w:rsidRPr="5D6F99C4">
              <w:rPr>
                <w:rFonts w:ascii="Calibri" w:hAnsi="Calibri" w:eastAsia="Calibri" w:cs="Calibri"/>
                <w:lang w:val="en-GB"/>
              </w:rPr>
              <w:t>Judge-rapporteur</w:t>
            </w:r>
          </w:p>
        </w:tc>
        <w:tc>
          <w:tcPr>
            <w:tcW w:w="6634" w:type="dxa"/>
            <w:tcMar/>
          </w:tcPr>
          <w:p w:rsidR="62EC5B2D" w:rsidP="5D6F99C4" w:rsidRDefault="62EC5B2D" w14:paraId="35F920B4" w14:textId="7566C3B4">
            <w:pPr>
              <w:spacing w:line="259" w:lineRule="auto"/>
            </w:pPr>
            <w:r w:rsidRPr="5D6F99C4">
              <w:t>Collins</w:t>
            </w:r>
          </w:p>
        </w:tc>
      </w:tr>
      <w:tr w:rsidR="5D6F99C4" w:rsidTr="699D29EF" w14:paraId="248C7083" w14:textId="77777777">
        <w:tc>
          <w:tcPr>
            <w:tcW w:w="2392" w:type="dxa"/>
            <w:shd w:val="clear" w:color="auto" w:fill="FFFF00"/>
            <w:tcMar/>
          </w:tcPr>
          <w:p w:rsidR="5D6F99C4" w:rsidP="5D6F99C4" w:rsidRDefault="5D6F99C4" w14:paraId="7F118B22" w14:textId="5BA82103">
            <w:pPr>
              <w:spacing w:line="259" w:lineRule="auto"/>
            </w:pPr>
            <w:r w:rsidRPr="5D6F99C4">
              <w:rPr>
                <w:rFonts w:ascii="Calibri" w:hAnsi="Calibri" w:eastAsia="Calibri" w:cs="Calibri"/>
                <w:lang w:val="en-GB"/>
              </w:rPr>
              <w:t>Notes on academic writings</w:t>
            </w:r>
          </w:p>
        </w:tc>
        <w:tc>
          <w:tcPr>
            <w:tcW w:w="6634" w:type="dxa"/>
            <w:tcMar/>
          </w:tcPr>
          <w:p w:rsidR="2BCDCF5C" w:rsidP="5D6F99C4" w:rsidRDefault="2BCDCF5C" w14:paraId="3A374E0B" w14:textId="3C06577A">
            <w:pPr>
              <w:spacing w:line="259" w:lineRule="auto"/>
            </w:pPr>
            <w:r w:rsidRPr="5D6F99C4">
              <w:t>-</w:t>
            </w:r>
          </w:p>
        </w:tc>
      </w:tr>
    </w:tbl>
    <w:p w:rsidR="00251D9C" w:rsidRDefault="05E4E5A8" w14:paraId="3BFEFB25" w14:textId="7F761C0F">
      <w:r>
        <w:t xml:space="preserve"> </w:t>
      </w:r>
    </w:p>
    <w:sectPr w:rsidR="00251D9C">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50"/>
  <w:proofState w:spelling="clean"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A5089A"/>
    <w:rsid w:val="000561A4"/>
    <w:rsid w:val="00251D9C"/>
    <w:rsid w:val="002E1023"/>
    <w:rsid w:val="00A01C82"/>
    <w:rsid w:val="014ED806"/>
    <w:rsid w:val="02270E3C"/>
    <w:rsid w:val="036980CB"/>
    <w:rsid w:val="05E4E5A8"/>
    <w:rsid w:val="065EF505"/>
    <w:rsid w:val="06678954"/>
    <w:rsid w:val="07F5F4E6"/>
    <w:rsid w:val="0A360BA5"/>
    <w:rsid w:val="0DD3B7A4"/>
    <w:rsid w:val="11BC5DE9"/>
    <w:rsid w:val="140558F3"/>
    <w:rsid w:val="157D0C7E"/>
    <w:rsid w:val="18682613"/>
    <w:rsid w:val="18BCAFBC"/>
    <w:rsid w:val="1E4D54EC"/>
    <w:rsid w:val="1F0E9334"/>
    <w:rsid w:val="25CD45E6"/>
    <w:rsid w:val="27E62751"/>
    <w:rsid w:val="28017300"/>
    <w:rsid w:val="28B4EEB1"/>
    <w:rsid w:val="2BCDCF5C"/>
    <w:rsid w:val="2D244DF6"/>
    <w:rsid w:val="2E1D6D41"/>
    <w:rsid w:val="2E57BD92"/>
    <w:rsid w:val="2EEB73FA"/>
    <w:rsid w:val="32889BFE"/>
    <w:rsid w:val="34A5089A"/>
    <w:rsid w:val="35819688"/>
    <w:rsid w:val="396098D9"/>
    <w:rsid w:val="3DD4214E"/>
    <w:rsid w:val="3E5FACD7"/>
    <w:rsid w:val="41B52906"/>
    <w:rsid w:val="4254599C"/>
    <w:rsid w:val="459378CA"/>
    <w:rsid w:val="45C7D4D7"/>
    <w:rsid w:val="463ECF24"/>
    <w:rsid w:val="495C19F4"/>
    <w:rsid w:val="4C5793E4"/>
    <w:rsid w:val="50C794BC"/>
    <w:rsid w:val="51DFAD12"/>
    <w:rsid w:val="53E5CFA5"/>
    <w:rsid w:val="545EA382"/>
    <w:rsid w:val="55E0D570"/>
    <w:rsid w:val="5791B31B"/>
    <w:rsid w:val="58FA861A"/>
    <w:rsid w:val="59F16FF8"/>
    <w:rsid w:val="59FBE1E4"/>
    <w:rsid w:val="5ACBF198"/>
    <w:rsid w:val="5CF0ADED"/>
    <w:rsid w:val="5D6F99C4"/>
    <w:rsid w:val="5F47CD61"/>
    <w:rsid w:val="60397D43"/>
    <w:rsid w:val="62EC5B2D"/>
    <w:rsid w:val="699D29EF"/>
    <w:rsid w:val="69FC8E94"/>
    <w:rsid w:val="6A1E74AD"/>
    <w:rsid w:val="6ACEA3AB"/>
    <w:rsid w:val="6C77406E"/>
    <w:rsid w:val="6EE1F1D3"/>
    <w:rsid w:val="742AB0C4"/>
    <w:rsid w:val="74474F11"/>
    <w:rsid w:val="75A326E9"/>
    <w:rsid w:val="75FD284C"/>
    <w:rsid w:val="7A8C0ADF"/>
    <w:rsid w:val="7A8F1782"/>
    <w:rsid w:val="7B84B5E9"/>
    <w:rsid w:val="7E1D3B97"/>
    <w:rsid w:val="7EF237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8627"/>
  <w15:chartTrackingRefBased/>
  <w15:docId w15:val="{BB6F635E-E5BF-427E-A8FD-6E0F2E05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Alexane Houot</dc:creator>
  <keywords/>
  <dc:description/>
  <lastModifiedBy>Kiran Desai</lastModifiedBy>
  <revision>5</revision>
  <dcterms:created xsi:type="dcterms:W3CDTF">2020-07-15T12:16:00.0000000Z</dcterms:created>
  <dcterms:modified xsi:type="dcterms:W3CDTF">2020-10-12T10:48:13.9223194Z</dcterms:modified>
</coreProperties>
</file>